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0B1CA6">
        <w:rPr>
          <w:bCs/>
          <w:sz w:val="27"/>
          <w:szCs w:val="27"/>
        </w:rPr>
        <w:t>516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F952FA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3D2465" w:rsidR="000B1CA6">
        <w:rPr>
          <w:sz w:val="27"/>
          <w:szCs w:val="27"/>
        </w:rPr>
        <w:t xml:space="preserve">директора ООО «ГНБ-Групп» Швец Сергея Анатольевича, </w:t>
      </w:r>
      <w:r w:rsidR="00F952FA">
        <w:rPr>
          <w:sz w:val="27"/>
          <w:szCs w:val="27"/>
        </w:rPr>
        <w:t>****</w:t>
      </w:r>
      <w:r w:rsidRPr="00520524">
        <w:rPr>
          <w:sz w:val="27"/>
          <w:szCs w:val="27"/>
        </w:rPr>
        <w:t>,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Pr="003D2465" w:rsidR="000B1CA6">
        <w:rPr>
          <w:sz w:val="27"/>
          <w:szCs w:val="27"/>
        </w:rPr>
        <w:t>ГНБ-Групп» Швец</w:t>
      </w:r>
      <w:r w:rsidR="000B1CA6">
        <w:rPr>
          <w:sz w:val="27"/>
          <w:szCs w:val="27"/>
        </w:rPr>
        <w:t xml:space="preserve"> С.А.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0B1CA6">
        <w:rPr>
          <w:sz w:val="27"/>
          <w:szCs w:val="27"/>
        </w:rPr>
        <w:t>2 квартал</w:t>
      </w:r>
      <w:r w:rsidR="000E2638">
        <w:rPr>
          <w:color w:val="FF0000"/>
          <w:sz w:val="27"/>
          <w:szCs w:val="27"/>
        </w:rPr>
        <w:t xml:space="preserve">,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25.07.2024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0B1CA6">
        <w:rPr>
          <w:color w:val="FF0000"/>
          <w:sz w:val="27"/>
          <w:szCs w:val="27"/>
        </w:rPr>
        <w:t>25</w:t>
      </w:r>
      <w:r w:rsidR="000E2638">
        <w:rPr>
          <w:color w:val="FF0000"/>
          <w:sz w:val="27"/>
          <w:szCs w:val="27"/>
        </w:rPr>
        <w:t>.</w:t>
      </w:r>
      <w:r w:rsidR="000B1CA6">
        <w:rPr>
          <w:color w:val="FF0000"/>
          <w:sz w:val="27"/>
          <w:szCs w:val="27"/>
        </w:rPr>
        <w:t>10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Pr="003D2465" w:rsidR="000B1CA6">
        <w:rPr>
          <w:sz w:val="27"/>
          <w:szCs w:val="27"/>
        </w:rPr>
        <w:t>Швец</w:t>
      </w:r>
      <w:r w:rsidR="000B1CA6">
        <w:rPr>
          <w:sz w:val="27"/>
          <w:szCs w:val="27"/>
        </w:rPr>
        <w:t xml:space="preserve"> С.А.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3D2465">
        <w:rPr>
          <w:sz w:val="27"/>
          <w:szCs w:val="27"/>
        </w:rPr>
        <w:t>Швец</w:t>
      </w:r>
      <w:r>
        <w:rPr>
          <w:sz w:val="27"/>
          <w:szCs w:val="27"/>
        </w:rPr>
        <w:t xml:space="preserve"> С.А.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>
        <w:rPr>
          <w:color w:val="FF0000"/>
          <w:sz w:val="27"/>
          <w:szCs w:val="27"/>
        </w:rPr>
        <w:t>явилась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F952FA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0B1CA6">
        <w:rPr>
          <w:color w:val="0070C0"/>
          <w:sz w:val="27"/>
          <w:szCs w:val="27"/>
        </w:rPr>
        <w:t>25660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0B1CA6">
        <w:rPr>
          <w:color w:val="0070C0"/>
          <w:sz w:val="27"/>
          <w:szCs w:val="27"/>
        </w:rPr>
        <w:t>2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0B1CA6" w:rsidR="000B1CA6">
        <w:rPr>
          <w:color w:val="FF0000"/>
          <w:sz w:val="27"/>
          <w:szCs w:val="27"/>
        </w:rPr>
        <w:t xml:space="preserve">директора ООО «ГНБ-Групп» Швец Сергея Анатольевича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0B1CA6" w:rsidR="000B1CA6">
        <w:rPr>
          <w:sz w:val="27"/>
          <w:szCs w:val="27"/>
        </w:rPr>
        <w:t>директора ООО «ГНБ-Групп» Швец Сергея Анатольевича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0B1CA6" w:rsidP="00520524">
      <w:pPr>
        <w:jc w:val="both"/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812E6"/>
    <w:rsid w:val="001D3447"/>
    <w:rsid w:val="001F2168"/>
    <w:rsid w:val="00241676"/>
    <w:rsid w:val="002A5FE3"/>
    <w:rsid w:val="002F2656"/>
    <w:rsid w:val="00300473"/>
    <w:rsid w:val="003207EF"/>
    <w:rsid w:val="003377B4"/>
    <w:rsid w:val="003D2465"/>
    <w:rsid w:val="00480D8A"/>
    <w:rsid w:val="00520524"/>
    <w:rsid w:val="00535EC6"/>
    <w:rsid w:val="005559CA"/>
    <w:rsid w:val="006D1AA1"/>
    <w:rsid w:val="00735D3B"/>
    <w:rsid w:val="007432DE"/>
    <w:rsid w:val="007A2E39"/>
    <w:rsid w:val="008015FA"/>
    <w:rsid w:val="008627F5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952FA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